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عمر العجلوني
</w:t>
      </w:r>
    </w:p>
    <w:p>
      <w:pPr>
        <w:jc w:val="start"/>
        <w:bidi/>
      </w:pPr>
      <w:r>
        <w:rPr>
          <w:rFonts w:ascii="arial" w:hAnsi="arial" w:eastAsia="arial" w:cs="arial"/>
          <w:sz w:val="28"/>
          <w:szCs w:val="28"/>
          <w:b w:val="1"/>
          <w:bCs w:val="1"/>
          <w:rtl/>
        </w:rPr>
        <w:t xml:space="preserve">أبو بكر بن أحمد بن عمر العجلوني
</w:t>
      </w:r>
    </w:p>
    <w:p>
      <w:pPr/>
      <w:r>
        <w:rPr/>
        <w:t xml:space="preserve">أبو بكر بن أحمد بن عمر العجلوني: </w:t>
      </w:r>
    </w:p>
    <w:p/>
    <w:p>
      <w:pPr/>
      <w:r>
        <w:rPr/>
        <w:t xml:space="preserve">خطيب سرمين العقبة، قرية من عمل عزاز، أصله من عجلون، ثم انتقل والده</w:t>
      </w:r>
    </w:p>
    <w:p/>
    <w:p>
      <w:pPr/>
      <w:r>
        <w:rPr/>
        <w:t xml:space="preserve">إلى عزاز فسكنها. ثم إن الشيخ أبا بكر ولى خطابة سرمين، وقدم إلى حلب، فقرأ على الشيخ زين الدين حفص البارينى، وسمع الحديث من الشيخ ظهير الدين بن العجمى، وغيره. ثم رحل إلى المدينة، وحج وجاور، وسمع بمكة وغيرها. وكان يعظ على الكرسى بالجامع الأموي بحلب وغيره. وهو رجل خير، دين، مواظب على العبادة، كان يذكر أن والده يقول: إنهم جعفريون، من أولاد جعفر بن أبي طالب.</w:t>
      </w:r>
    </w:p>
    <w:p/>
    <w:p>
      <w:pPr/>
      <w:r>
        <w:rPr/>
        <w:t xml:space="preserve">توفى رحمه الله تعالى بمكة في سادس عشر صفر، سنة إحدى وثمانمائة. انتهى لفظه من تاريخ العلامة القاضي علاء الدين بن خطيب الناصرية الحلبي، الذي هو ذيل على «بغية الطلب في تاريخ حلب» لابن العديم.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2026-08-06T00:54:03+03:00</dcterms:created>
  <dcterms:modified xsi:type="dcterms:W3CDTF">2026-08-06T00:54:03+03:00</dcterms:modified>
</cp:coreProperties>
</file>

<file path=docProps/custom.xml><?xml version="1.0" encoding="utf-8"?>
<Properties xmlns="http://schemas.openxmlformats.org/officeDocument/2006/custom-properties" xmlns:vt="http://schemas.openxmlformats.org/officeDocument/2006/docPropsVTypes"/>
</file>