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محمد بن محمد بن عمران الطنجي
</w:t>
      </w:r>
    </w:p>
    <w:p>
      <w:pPr>
        <w:jc w:val="start"/>
        <w:bidi/>
      </w:pPr>
      <w:r>
        <w:rPr>
          <w:rFonts w:ascii="arial" w:hAnsi="arial" w:eastAsia="arial" w:cs="arial"/>
          <w:sz w:val="28"/>
          <w:szCs w:val="28"/>
          <w:b w:val="1"/>
          <w:bCs w:val="1"/>
          <w:rtl/>
        </w:rPr>
        <w:t xml:space="preserve">يوسف بن محمد بن محمد بن محمد بن عمران الطنجي
</w:t>
      </w:r>
    </w:p>
    <w:p>
      <w:pPr/>
      <w:r>
        <w:rPr/>
        <w:t xml:space="preserve">يوسف بن محمد بن محمد بن محمد بن عمران الطنجى. المؤدب بالحرم الشريف: </w:t>
      </w:r>
    </w:p>
    <w:p/>
    <w:p>
      <w:pPr/>
      <w:r>
        <w:rPr/>
        <w:t xml:space="preserve">هكذا وجدته منسوبا بخط شيخنا ابن سكر، وسألت عنه السيد العلامة تقي الدين الفاسي، فذكر أنه كان فقيها صالحا عابدا ورعا زاهدا كريما محسنا إلى الفقراء، وكان شيخ الفقراء برباط ربيع، وعمل فيه صهريجا من ماله، وبيض الرباط، وعمر فيه أماكن، ثم انتقل إلى المدينة بعد أن أقام بمكة أكثر من ثلاثين سنة، ومات بها في سنة خمس وسبعين وسبعمائة، ودفن عند شهداء أحد، رضي الله عنهم.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2026-08-05T22:16:27+03:00</dcterms:created>
  <dcterms:modified xsi:type="dcterms:W3CDTF">2026-08-05T22:16:27+03:00</dcterms:modified>
</cp:coreProperties>
</file>

<file path=docProps/custom.xml><?xml version="1.0" encoding="utf-8"?>
<Properties xmlns="http://schemas.openxmlformats.org/officeDocument/2006/custom-properties" xmlns:vt="http://schemas.openxmlformats.org/officeDocument/2006/docPropsVTypes"/>
</file>