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حسين بن يوسف بن يعقوب الحصن كيفاى المكي
</w:t>
      </w:r>
    </w:p>
    <w:p>
      <w:pPr>
        <w:jc w:val="start"/>
        <w:bidi/>
      </w:pPr>
      <w:r>
        <w:rPr>
          <w:rFonts w:ascii="arial" w:hAnsi="arial" w:eastAsia="arial" w:cs="arial"/>
          <w:sz w:val="28"/>
          <w:szCs w:val="28"/>
          <w:b w:val="1"/>
          <w:bCs w:val="1"/>
          <w:rtl/>
        </w:rPr>
        <w:t xml:space="preserve">يوسف بن حسين بن يوسف بن يعقوب الحصن كيفاى المكي
</w:t>
      </w:r>
    </w:p>
    <w:p>
      <w:pPr/>
      <w:r>
        <w:rPr/>
        <w:t xml:space="preserve">يوسف بن حسين بن يوسف بن يعقوب الحصن كيفاى المكي: </w:t>
      </w:r>
    </w:p>
    <w:p/>
    <w:p>
      <w:pPr/>
      <w:r>
        <w:rPr/>
        <w:t xml:space="preserve">كان ينوب في الحسبة بمكة، عن قاضيها عز الدين بن محب الدين النويري، ثم عن شيخنا القاضي جمال الدين محمد بن عبد الله بن ظهيرة، وباشر ذلك بعد موت أبيه نحو خمس عشرة سنة، وكان يقرأ في المسجد الحرام وغيره من المجالس التي يجتمع الناس فيها.</w:t>
      </w:r>
    </w:p>
    <w:p/>
    <w:p>
      <w:pPr/>
      <w:r>
        <w:rPr/>
        <w:t xml:space="preserve">توفى في ليلة الأحد خامس شهر رجب، سنة ست عشرة وثمانمائة بمكة، ودفن بالمعلاة، وقد قارب الستين.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2026-10-08T22:02:03+03:00</dcterms:created>
  <dcterms:modified xsi:type="dcterms:W3CDTF">2026-10-08T22:02:03+03:00</dcterms:modified>
</cp:coreProperties>
</file>

<file path=docProps/custom.xml><?xml version="1.0" encoding="utf-8"?>
<Properties xmlns="http://schemas.openxmlformats.org/officeDocument/2006/custom-properties" xmlns:vt="http://schemas.openxmlformats.org/officeDocument/2006/docPropsVTypes"/>
</file>