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محمد بن أحمد الكيلاني
</w:t>
      </w:r>
    </w:p>
    <w:p>
      <w:pPr>
        <w:jc w:val="start"/>
        <w:bidi/>
      </w:pPr>
      <w:r>
        <w:rPr>
          <w:rFonts w:ascii="arial" w:hAnsi="arial" w:eastAsia="arial" w:cs="arial"/>
          <w:sz w:val="28"/>
          <w:szCs w:val="28"/>
          <w:b w:val="1"/>
          <w:bCs w:val="1"/>
          <w:rtl/>
        </w:rPr>
        <w:t xml:space="preserve">يعقوب بن محمد بن أحمد الكيلاني
</w:t>
      </w:r>
    </w:p>
    <w:p>
      <w:pPr/>
      <w:r>
        <w:rPr/>
        <w:t xml:space="preserve">يعقوب بن محمد بن أحمد الكيلاني: </w:t>
      </w:r>
    </w:p>
    <w:p/>
    <w:p>
      <w:pPr/>
      <w:r>
        <w:rPr/>
        <w:t xml:space="preserve">سمع على الحجي، والزين الطبري، ومحمد بن الصفي، والجمال المطري، وبلال عتيق ابن العجمي: «جامع الترمذي» بقراءة ابن الوانى، في رمضان سنة إحدى وثلاثين وسبعمائة بالحرم، وكان شيخ رباط مراغة بمكة، ولم أدر متى مات، إلا أنه كان حيا في سنة ثلاث وخمسين وسبعمائة، وتوفى بإثرها بمكة ورأيت بخط الآقشهرى في «رحلته»: وما علمته حدث، وذكر لي ولده أحمد، ما يدل على أنه مات في سنة ثلاث وخمسين وسبعمائة.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2026-08-05T16:07:16+03:00</dcterms:created>
  <dcterms:modified xsi:type="dcterms:W3CDTF">2026-08-05T16:07:16+03:00</dcterms:modified>
</cp:coreProperties>
</file>

<file path=docProps/custom.xml><?xml version="1.0" encoding="utf-8"?>
<Properties xmlns="http://schemas.openxmlformats.org/officeDocument/2006/custom-properties" xmlns:vt="http://schemas.openxmlformats.org/officeDocument/2006/docPropsVTypes"/>
</file>