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أحمد
</w:t>
      </w:r>
    </w:p>
    <w:p>
      <w:pPr/>
      <w:r>
        <w:rPr/>
        <w:t xml:space="preserve">يعقوب بن أحمد [ .... ] الأبيارى المكي: </w:t>
      </w:r>
    </w:p>
    <w:p/>
    <w:p>
      <w:pPr/>
      <w:r>
        <w:rPr/>
        <w:t xml:space="preserve">ذكر لي أنه قرأ القرآن العظيم بمكة، على الشيخ سراج الدين الدمنهوري، وأظن أنه</w:t>
      </w:r>
    </w:p>
    <w:p/>
    <w:p>
      <w:pPr/>
      <w:r>
        <w:rPr/>
        <w:t xml:space="preserve">قال: قرأ عليه بجميع الروايات. وأما قراءته عليه ببعضها، فأحققها عنه. وكان يسافر من مكة طلبا للرزق إلى اليمن وغيره.</w:t>
      </w:r>
    </w:p>
    <w:p/>
    <w:p>
      <w:pPr/>
      <w:r>
        <w:rPr/>
        <w:t xml:space="preserve">وتوفى سنة تسع وثمانمائة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2026-10-08T23:10:16+03:00</dcterms:created>
  <dcterms:modified xsi:type="dcterms:W3CDTF">2026-10-08T23:10:16+03:00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