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محمد يحيى بن عياد - بياء مثناة من تحت - الصنهاجى المكي
</w:t>
      </w:r>
    </w:p>
    <w:p>
      <w:pPr>
        <w:jc w:val="start"/>
        <w:bidi/>
      </w:pPr>
      <w:r>
        <w:rPr>
          <w:rFonts w:ascii="arial" w:hAnsi="arial" w:eastAsia="arial" w:cs="arial"/>
          <w:sz w:val="28"/>
          <w:szCs w:val="28"/>
          <w:b w:val="1"/>
          <w:bCs w:val="1"/>
          <w:rtl/>
        </w:rPr>
        <w:t xml:space="preserve">يحيى بن محمد يحيى بن عياد - بياء مثناة من تحت - الصنهاجى المكي
</w:t>
      </w:r>
    </w:p>
    <w:p>
      <w:pPr/>
      <w:r>
        <w:rPr/>
        <w:t xml:space="preserve">يحيى بن محمد يحيى بن عياد - بياء مثناة من تحت - الصنهاجى المكي: </w:t>
      </w:r>
    </w:p>
    <w:p/>
    <w:p>
      <w:pPr/>
      <w:r>
        <w:rPr/>
        <w:t xml:space="preserve">سمع بمكة من شيخنا ابن صديق، وغيره من شيوخنا، وحضر معنا دروس شيخنا الشريف عبد الرحمن الفاسي، وحضر على شيخنا القاضي تاج الدين بهرام الدميري المالكي، مدرس الشيخونية بالقاهرة، بقراءتى عليه لكتابه الحافل المسمى «بالشامل» وكان رجلا حسنا عاقلا.</w:t>
      </w:r>
    </w:p>
    <w:p/>
    <w:p>
      <w:pPr/>
      <w:r>
        <w:rPr/>
        <w:t xml:space="preserve">توفى في أحد الربيعين، أو الجمادين، من سنة سبع وثمانمائة بمكة، ودفن بالمعلاة، عن ثلاثين سنة، وهو سبط الشيخ المحدث علي بن أحمد الفوي.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2026-08-05T16:29:29+03:00</dcterms:created>
  <dcterms:modified xsi:type="dcterms:W3CDTF">2026-08-05T16:29:29+03:00</dcterms:modified>
</cp:coreProperties>
</file>

<file path=docProps/custom.xml><?xml version="1.0" encoding="utf-8"?>
<Properties xmlns="http://schemas.openxmlformats.org/officeDocument/2006/custom-properties" xmlns:vt="http://schemas.openxmlformats.org/officeDocument/2006/docPropsVTypes"/>
</file>