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عبد الرحمن بن هارون بن عبد الله بن محمد بن كثير بن معن ابن عبد الرحمن بن عوف القرشي الزهري
</w:t>
      </w:r>
    </w:p>
    <w:p>
      <w:pPr>
        <w:jc w:val="start"/>
        <w:bidi/>
      </w:pPr>
      <w:r>
        <w:rPr>
          <w:rFonts w:ascii="arial" w:hAnsi="arial" w:eastAsia="arial" w:cs="arial"/>
          <w:sz w:val="28"/>
          <w:szCs w:val="28"/>
          <w:b w:val="1"/>
          <w:bCs w:val="1"/>
          <w:rtl/>
        </w:rPr>
        <w:t xml:space="preserve">يحيى بن عبد الرحمن بن هارون بن عبد الله بن محمد بن كثير بن معن ابن عبد الرحمن بن عوف القرشي الزهري
</w:t>
      </w:r>
    </w:p>
    <w:p>
      <w:pPr/>
      <w:r>
        <w:rPr/>
        <w:t xml:space="preserve">يحيى بن عبد الرحمن بن هارون بن عبد الله بن محمد بن كثير بن معن ابن عبد الرحمن بن عوف القرشي الزهري: </w:t>
      </w:r>
    </w:p>
    <w:p/>
    <w:p>
      <w:pPr/>
      <w:r>
        <w:rPr/>
        <w:t xml:space="preserve">قاضي مكة، هكذا نسبه صاحب «الجمهرة» وقال: «ولى قضاء مكة للمقتدر، وكان محمودا في ولايته، لم يرتزق شيئا، ووليها ستة عشر شهرا، وكان من أهل الحزم والنفاذ في الأمور كلها، وكانت له ضياع في الفرع، وكان مطاعا في أهل العدل، وهرب بعياله حين دخول القرامطة مكة، إلى وادى الرهجان، وأخذ القرامطة له حينئذ، ما قيمته ألف دينار وخمسون ألف دينار، ولم يسمع شاكيا ولا ذاكرا شيئا مما أخذ له».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2026-10-09T00:22:16+03:00</dcterms:created>
  <dcterms:modified xsi:type="dcterms:W3CDTF">2026-10-09T00:22:16+03:00</dcterms:modified>
</cp:coreProperties>
</file>

<file path=docProps/custom.xml><?xml version="1.0" encoding="utf-8"?>
<Properties xmlns="http://schemas.openxmlformats.org/officeDocument/2006/custom-properties" xmlns:vt="http://schemas.openxmlformats.org/officeDocument/2006/docPropsVTypes"/>
</file>