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جياش بن أبي ثامر المبارك القاسمي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جياش بن أبي ثامر المبارك القاسمي
</w:t>
      </w:r>
    </w:p>
    <w:p>
      <w:pPr/>
      <w:r>
        <w:rPr/>
        <w:t xml:space="preserve">يحيى بن جياش بن أبي ثامر المبارك القاسمي: </w:t>
      </w:r>
    </w:p>
    <w:p/>
    <w:p>
      <w:pPr/>
      <w:r>
        <w:rPr/>
        <w:t xml:space="preserve">توفى يوم الاثنين، آخر جمادى الآخرة، سنة ثمان وثمانين وخمسمائة. ومن حجر قبره بالمعلاة، كتبت هذه الترجمة، وترجم فيها «بالقائد». انتهى.</w:t>
      </w:r>
    </w:p>
    <w:p/>
    <w:p>
      <w:pPr/>
      <w:r>
        <w:rPr/>
        <w:t xml:space="preserve">والقاسمي: نسبة إلى القاسم بن محمد بن جعفر بن محمد بن عبد الله بن أبي هاشم الحسني، أمير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2026-08-05T21:30:36+03:00</dcterms:created>
  <dcterms:modified xsi:type="dcterms:W3CDTF">2026-08-05T21:30:36+03:00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