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إسماعيل بن أبي بكر بن محمد بن إبراهيم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إسماعيل بن أبي بكر بن محمد بن إبراهيم الطبري المكي
</w:t>
      </w:r>
    </w:p>
    <w:p>
      <w:pPr/>
      <w:r>
        <w:rPr/>
        <w:t xml:space="preserve">يحيى بن إسماعيل بن أبي بكر بن محمد بن إبراهيم الطبري المكي </w:t>
      </w:r>
    </w:p>
    <w:p/>
    <w:p>
      <w:pPr/>
      <w:r>
        <w:rPr/>
        <w:t xml:space="preserve">[ ......... ]:</w:t>
      </w:r>
    </w:p>
    <w:p/>
    <w:p>
      <w:pPr/>
      <w:r>
        <w:rPr/>
        <w:t xml:space="preserve">توفى في العشر الأوسط من جمادى الأولى، سنة تسع وعشرين وستمائة.</w:t>
      </w:r>
    </w:p>
    <w:p/>
    <w:p>
      <w:pPr/>
      <w:r>
        <w:rPr/>
        <w:t xml:space="preserve">نقلت وفاته من حجر قبره بالمعلاة، وترجم فيه «بالشاب».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2026-08-05T17:16:48+03:00</dcterms:created>
  <dcterms:modified xsi:type="dcterms:W3CDTF">2026-08-05T17:16:48+03:00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