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وهيب بن واضح المكي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وهيب بن واضح المكي
</w:t>
      </w:r>
    </w:p>
    <w:p>
      <w:pPr/>
      <w:r>
        <w:rPr/>
        <w:t xml:space="preserve">وهيب بن واضح المكي: </w:t>
      </w:r>
    </w:p>
    <w:p/>
    <w:p>
      <w:pPr/>
      <w:r>
        <w:rPr/>
        <w:t xml:space="preserve">مولى عبد العزيز بن أبي رواد المقري، أبو القاسم، ويلقب أبا الأخرىط.</w:t>
      </w:r>
    </w:p>
    <w:p/>
    <w:p>
      <w:pPr/>
      <w:r>
        <w:rPr/>
        <w:t xml:space="preserve">قرأ على إسماعيل القسط، وشبل بن عباد، ومعروف بن مشكان، وتصدر للإقراء، فقرأ على البزى، والقفال، وغيرهما.</w:t>
      </w:r>
    </w:p>
    <w:p/>
    <w:p>
      <w:pPr/>
      <w:r>
        <w:rPr/>
        <w:t xml:space="preserve">وتوفى سن تسعين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2026-08-05T17:01:18+03:00</dcterms:created>
  <dcterms:modified xsi:type="dcterms:W3CDTF">2026-08-05T17:01:18+03:00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