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هدية بن عبد الوهاب المروزي أبو صالح
</w:t>
      </w:r>
    </w:p>
    <w:p>
      <w:pPr>
        <w:jc w:val="start"/>
        <w:bidi/>
      </w:pPr>
      <w:r>
        <w:rPr>
          <w:rFonts w:ascii="arial" w:hAnsi="arial" w:eastAsia="arial" w:cs="arial"/>
          <w:sz w:val="28"/>
          <w:szCs w:val="28"/>
          <w:b w:val="1"/>
          <w:bCs w:val="1"/>
          <w:rtl/>
        </w:rPr>
        <w:t xml:space="preserve">هدية بن عبد الوهاب المروزي أبو صالح
</w:t>
      </w:r>
    </w:p>
    <w:p>
      <w:pPr/>
      <w:r>
        <w:rPr/>
        <w:t xml:space="preserve">هدية بن عبد الوهاب المروزي، أبو صالح: </w:t>
      </w:r>
    </w:p>
    <w:p/>
    <w:p>
      <w:pPr/>
      <w:r>
        <w:rPr/>
        <w:t xml:space="preserve">روى عن: سفيان بن عيينة، والفضل بن موسى السينانى، والنضر بن شميل، ووكيع ابن الجراح، والوليد بن مسلم، ويحيى بن سليم الطائفى، وأبي معاوية الضرير.</w:t>
      </w:r>
    </w:p>
    <w:p/>
    <w:p>
      <w:pPr/>
      <w:r>
        <w:rPr/>
        <w:t xml:space="preserve">روى عنه: ابن ماجة، وإبراهيم بن أبي طالب النيسابوري، وأبو بكر أحمد بن عمر ابن أبي عاصم، وبقى بن مخلد الأندلسي، وعبد الله بن أحمد بن حنبل، وأبو زرعة عبيد الله بن عبد الكريم الرازي، ويعقوب بن سفيان الفسوى، وذكره في شيوخه، رجال مكة، في الأول من «مشيخته» وذكره ابن حبان في الثقات، وقال: ربما أخطأ. وقال ابن أبي عاصم: ثقة. وقال أبو القاسم: مات سنة إحدى وأربعين ومائتين.</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2026-08-05T21:30:10+03:00</dcterms:created>
  <dcterms:modified xsi:type="dcterms:W3CDTF">2026-08-05T21:30:10+03:00</dcterms:modified>
</cp:coreProperties>
</file>

<file path=docProps/custom.xml><?xml version="1.0" encoding="utf-8"?>
<Properties xmlns="http://schemas.openxmlformats.org/officeDocument/2006/custom-properties" xmlns:vt="http://schemas.openxmlformats.org/officeDocument/2006/docPropsVTypes"/>
</file>