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هبة الله بن منصور بن الفضل بن علي الواسطي أبو الفضل الشافعي المقرئ
</w:t>
      </w:r>
    </w:p>
    <w:p>
      <w:pPr>
        <w:jc w:val="start"/>
        <w:bidi/>
      </w:pPr>
      <w:r>
        <w:rPr>
          <w:rFonts w:ascii="arial" w:hAnsi="arial" w:eastAsia="arial" w:cs="arial"/>
          <w:sz w:val="28"/>
          <w:szCs w:val="28"/>
          <w:b w:val="1"/>
          <w:bCs w:val="1"/>
          <w:rtl/>
        </w:rPr>
        <w:t xml:space="preserve">هبة الله بن منصور بن الفضل بن علي الواسطي أبو الفضل الشافعي المقرئ
</w:t>
      </w:r>
    </w:p>
    <w:p>
      <w:pPr/>
      <w:r>
        <w:rPr/>
        <w:t xml:space="preserve">هبة الله بن منصور بن الفضل بن علي الواسطي، أبو الفضل الشافعي المقرئ: </w:t>
      </w:r>
    </w:p>
    <w:p/>
    <w:p>
      <w:pPr/>
      <w:r>
        <w:rPr/>
        <w:t xml:space="preserve">ولد سنة خمس وسبعين وخمسمائة بواسط، وسمع بها من القاضي أبي الفتح الميدانى، وحدث ببغداد، وقرأ القراءات، وتفقه ببغداد على مذهب الشافعي. وكان خازن كتب النظامية ببغداد. وتوفى بمكة في التاسع من شعبان، سنة اثنتين وأربعين وستمائة. ذكره الشريف أبو القاسم الحسيني في «وفياته» ومنها لخصت هذه الترجمة.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2026-08-05T15:08:02+03:00</dcterms:created>
  <dcterms:modified xsi:type="dcterms:W3CDTF">2026-08-05T15:08:02+03:00</dcterms:modified>
</cp:coreProperties>
</file>

<file path=docProps/custom.xml><?xml version="1.0" encoding="utf-8"?>
<Properties xmlns="http://schemas.openxmlformats.org/officeDocument/2006/custom-properties" xmlns:vt="http://schemas.openxmlformats.org/officeDocument/2006/docPropsVTypes"/>
</file>