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عبد الله بن كثير بن معن بن عبد الرحمن بن عوف القرشي الزهري
</w:t>
      </w:r>
    </w:p>
    <w:p>
      <w:pPr>
        <w:jc w:val="start"/>
        <w:bidi/>
      </w:pPr>
      <w:r>
        <w:rPr>
          <w:rFonts w:ascii="arial" w:hAnsi="arial" w:eastAsia="arial" w:cs="arial"/>
          <w:sz w:val="28"/>
          <w:szCs w:val="28"/>
          <w:b w:val="1"/>
          <w:bCs w:val="1"/>
          <w:rtl/>
        </w:rPr>
        <w:t xml:space="preserve">هارون بن عبد الله بن كثير بن معن بن عبد الرحمن بن عوف القرشي الزهري
</w:t>
      </w:r>
    </w:p>
    <w:p>
      <w:pPr/>
      <w:r>
        <w:rPr/>
        <w:t xml:space="preserve">هارون بن عبد الله بن كثير بن معن بن عبد الرحمن بن عوف القرشي الزهري: </w:t>
      </w:r>
    </w:p>
    <w:p/>
    <w:p>
      <w:pPr/>
      <w:r>
        <w:rPr/>
        <w:t xml:space="preserve">هكذا ذكره الزبير بن بكار، لما ذكر أولاده عبد الرحمن بن عوف الزهري، أحد العشرة رضي الله عنهم.</w:t>
      </w:r>
    </w:p>
    <w:p/>
    <w:p>
      <w:pPr/>
      <w:r>
        <w:rPr/>
        <w:t xml:space="preserve">قال: وأمه سهلة بنت معن بن عمر بن معن بن عبد الرحمن بن عوف. وكان من الفقهاء، وكان يقوم بنصرة قول أهل المدينة فيحسن، ولاه المأمون أمير المؤمنين قضاء المصيصة، ثم صرفه عنها، وولاه قضاء الرقة، ثم صرفه عنها، وولاه قضاء عسكر المهدى ببغداد، ثم صرفه. وولاه قضاء مصر، وتوفى أمير المؤمنين المأمون، وهو على قضاء مصر، حتى صرف في آخر خلافة أمير المؤمنين المعتصم.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2026-08-05T17:35:35+03:00</dcterms:created>
  <dcterms:modified xsi:type="dcterms:W3CDTF">2026-08-05T17:35:35+03:00</dcterms:modified>
</cp:coreProperties>
</file>

<file path=docProps/custom.xml><?xml version="1.0" encoding="utf-8"?>
<Properties xmlns="http://schemas.openxmlformats.org/officeDocument/2006/custom-properties" xmlns:vt="http://schemas.openxmlformats.org/officeDocument/2006/docPropsVTypes"/>
</file>