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نبت بن عبيد بن محمد بن عبد الله بن يوسف بن رحيم - بفتح الراء وكسر الحاء المهملة - أبو عيسى المهدي
</w:t>
      </w:r>
    </w:p>
    <w:p>
      <w:pPr>
        <w:jc w:val="start"/>
        <w:bidi/>
      </w:pPr>
      <w:r>
        <w:rPr>
          <w:rFonts w:ascii="arial" w:hAnsi="arial" w:eastAsia="arial" w:cs="arial"/>
          <w:sz w:val="28"/>
          <w:szCs w:val="28"/>
          <w:b w:val="1"/>
          <w:bCs w:val="1"/>
          <w:rtl/>
        </w:rPr>
        <w:t xml:space="preserve">نبت بن عبيد بن محمد بن عبد الله بن يوسف بن رحيم - بفتح الراء وكسر الحاء المهملة - أبو عيسى المهدي
</w:t>
      </w:r>
    </w:p>
    <w:p>
      <w:pPr/>
      <w:r>
        <w:rPr/>
        <w:t xml:space="preserve">نبت بن عبيد بن محمد بن عبد الله بن يوسف بن رحيم - بفتح الراء وكسر الحاء المهملة - أبو عيسى المهدي: </w:t>
      </w:r>
    </w:p>
    <w:p/>
    <w:p>
      <w:pPr/>
      <w:r>
        <w:rPr/>
        <w:t xml:space="preserve">من أهل اليمن، ذكره السلفي فيمن أجاز له، وقال: كان فقيها من فقهاء أصحاب الشافعي. ولد باليمن، ثم أقام بمكة، إلى أن توفى بها بعد سنة ست وعشرين وخسمائة، تفقه على شيخها أبي عبد الله الحسين بن علي الطبري، وكان يذكر أنه سمع من إسماعيل التيمى، وسنجر بن عبد الله الطبري، وأبي نصر البندنيجى، ولم يذكر وفاته.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2026-08-06T19:53:34+03:00</dcterms:created>
  <dcterms:modified xsi:type="dcterms:W3CDTF">2026-08-06T19:53:34+03:00</dcterms:modified>
</cp:coreProperties>
</file>

<file path=docProps/custom.xml><?xml version="1.0" encoding="utf-8"?>
<Properties xmlns="http://schemas.openxmlformats.org/officeDocument/2006/custom-properties" xmlns:vt="http://schemas.openxmlformats.org/officeDocument/2006/docPropsVTypes"/>
</file>