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بن جياش بن أبي ثامر المبارك القاسمي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جياش بن أبي ثامر المبارك القاسمي
</w:t>
      </w:r>
    </w:p>
    <w:p>
      <w:pPr/>
      <w:r>
        <w:rPr/>
        <w:t xml:space="preserve">معمر بن جياش بن أبي ثامر المبارك القاسمي: </w:t>
      </w:r>
    </w:p>
    <w:p/>
    <w:p>
      <w:pPr/>
      <w:r>
        <w:rPr/>
        <w:t xml:space="preserve">توفى في جمادى الأولى سنة ثمان وثمانين وخمسمائة، ودفن بالمعلاة. ومن حجر قبره كتبت هذه الترجمة، وترجم فيه: بالقائد ابن القائد.</w:t>
      </w:r>
    </w:p>
    <w:p/>
    <w:p>
      <w:pPr/>
      <w:r>
        <w:rPr/>
        <w:t xml:space="preserve">والقاسمي: نسبة إلى القاسم بن محمد بن جعفر بن محمد بن عبد الله بن أبي هاشم الحسني، أمير 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2026-08-05T17:04:22+03:00</dcterms:created>
  <dcterms:modified xsi:type="dcterms:W3CDTF">2026-08-05T17:04:22+03:00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