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جمال الدين أبي طاهر الهروي الناسخ
</w:t>
      </w:r>
    </w:p>
    <w:p>
      <w:pPr>
        <w:jc w:val="start"/>
        <w:bidi/>
      </w:pPr>
      <w:r>
        <w:rPr>
          <w:rFonts w:ascii="arial" w:hAnsi="arial" w:eastAsia="arial" w:cs="arial"/>
          <w:sz w:val="28"/>
          <w:szCs w:val="28"/>
          <w:b w:val="1"/>
          <w:bCs w:val="1"/>
          <w:rtl/>
        </w:rPr>
        <w:t xml:space="preserve">محمود بن جمال الدين أبي طاهر الهروي الناسخ
</w:t>
      </w:r>
    </w:p>
    <w:p>
      <w:pPr/>
      <w:r>
        <w:rPr/>
        <w:t xml:space="preserve">محمود بن جمال الدين أبي طاهر الهروي الناسخ: </w:t>
      </w:r>
    </w:p>
    <w:p/>
    <w:p>
      <w:pPr/>
      <w:r>
        <w:rPr/>
        <w:t xml:space="preserve">جاور بمكة مدة، وسمع بها الكثير، على الشيخ جمال الدين الأميوطي، والعفيف عبد الله بن محمد النشاورى، وغيرهما من شيوخنا، بالسماع والإجازة، وكتب بخطه الكثير، ووقف كتبا في الحديث والفقه، وجعل مقرها برباط الخوزى بمكة، واشتهر بالخير، وقد سألت عنه شيخنا ابن ظهيرة فقال: كان رجلا صالحا. انتهى.</w:t>
      </w:r>
    </w:p>
    <w:p/>
    <w:p>
      <w:pPr/>
      <w:r>
        <w:rPr/>
        <w:t xml:space="preserve">توفى في أوائل سنة ست وتسعين وسبعمائة بمكة، ودفن بالمعلاة، وكان يسكن في رباط غزى بأجياد، من 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2026-08-05T22:27:58+03:00</dcterms:created>
  <dcterms:modified xsi:type="dcterms:W3CDTF">2026-08-05T22:27:58+03:00</dcterms:modified>
</cp:coreProperties>
</file>

<file path=docProps/custom.xml><?xml version="1.0" encoding="utf-8"?>
<Properties xmlns="http://schemas.openxmlformats.org/officeDocument/2006/custom-properties" xmlns:vt="http://schemas.openxmlformats.org/officeDocument/2006/docPropsVTypes"/>
</file>