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محمد بن عبد الله المليساوى ويعرف بابن مكينة اليمنى الأصل الطائفى المولد والدار المالكي
</w:t>
      </w:r>
    </w:p>
    <w:p>
      <w:pPr>
        <w:jc w:val="start"/>
        <w:bidi/>
      </w:pPr>
      <w:r>
        <w:rPr>
          <w:rFonts w:ascii="arial" w:hAnsi="arial" w:eastAsia="arial" w:cs="arial"/>
          <w:sz w:val="28"/>
          <w:szCs w:val="28"/>
          <w:b w:val="1"/>
          <w:bCs w:val="1"/>
          <w:rtl/>
        </w:rPr>
        <w:t xml:space="preserve">عيسى بن محمد بن عبد الله المليساوى ويعرف بابن مكينة اليمنى الأصل الطائفى المولد والدار المالكي
</w:t>
      </w:r>
    </w:p>
    <w:p>
      <w:pPr/>
      <w:r>
        <w:rPr/>
        <w:t xml:space="preserve">عيسى بن محمد بن عبد الله المليساوى، ويعرف بابن مكينة اليمنى الأصل، الطائفى المولد والدار المالكي: </w:t>
      </w:r>
    </w:p>
    <w:p/>
    <w:p>
      <w:pPr/>
      <w:r>
        <w:rPr/>
        <w:t xml:space="preserve">قاضي الطائف. ولى نيابة الحكم بقريته المليسا، بوادى الطائف، عن القاضي محب الدين النويري، ثم ولى ذلك عن ابنه، ثم عن القاضي جمال الدين بن ظهيرة، واستنابه في جميع بلاد الطائف، ثم ولى ذلك عن القاضي عز الدين النويري ثم قصره على قريته المليسا، ورفع يده عن إمامة مسجد الطائف وخطابته، وكان قد ولى إمامته وخطابته نحو أربع سنين، وكان يتردد إلى مكة للحج والعمرة، ويقيم بها الأيام الكثيرة، واخترمته المنية في خامس المحرم سنة أربع عشرة وثمانمائة، ودفن بالمعلاة، وقد بلغ الستين، وكان خيرا محمود السيرة، رحمه الله.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2026-10-09T04:55:30+03:00</dcterms:created>
  <dcterms:modified xsi:type="dcterms:W3CDTF">2026-10-09T04:55:30+03:00</dcterms:modified>
</cp:coreProperties>
</file>

<file path=docProps/custom.xml><?xml version="1.0" encoding="utf-8"?>
<Properties xmlns="http://schemas.openxmlformats.org/officeDocument/2006/custom-properties" xmlns:vt="http://schemas.openxmlformats.org/officeDocument/2006/docPropsVTypes"/>
</file>