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محمد بن يحيى بن عمرو بن خالد بن عبد الله بن عمرو بن عثمان بن عفان رضي الله عنه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محمد بن يحيى بن عمرو بن خالد بن عبد الله بن عمرو بن عثمان بن عفان رضي الله عنه الأموي
</w:t>
      </w:r>
    </w:p>
    <w:p>
      <w:pPr/>
      <w:r>
        <w:rPr/>
        <w:t xml:space="preserve">عمرو بن محمد بن يحيى بن عمرو بن خالد بن عبد الله بن عمرو بن عثمان بن عفان، رضي الله عنه، الأموي: </w:t>
      </w:r>
    </w:p>
    <w:p/>
    <w:p>
      <w:pPr/>
      <w:r>
        <w:rPr/>
        <w:t xml:space="preserve">قاضي مكة. هكذا نسبه صاحب الجمهرة، وقال: محدث، ولى قضاء مكة، توفى أيام المعتمد. انتهى. وقد تقدم ذكر أيام المعتمد.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2026-08-05T16:32:20+03:00</dcterms:created>
  <dcterms:modified xsi:type="dcterms:W3CDTF">2026-08-05T16:32:20+03:00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