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أحمد بن منصور بهاء الدين الهندي الحنفي
</w:t>
      </w:r>
    </w:p>
    <w:p>
      <w:pPr>
        <w:jc w:val="start"/>
        <w:bidi/>
      </w:pPr>
      <w:r>
        <w:rPr>
          <w:rFonts w:ascii="arial" w:hAnsi="arial" w:eastAsia="arial" w:cs="arial"/>
          <w:sz w:val="28"/>
          <w:szCs w:val="28"/>
          <w:b w:val="1"/>
          <w:bCs w:val="1"/>
          <w:rtl/>
        </w:rPr>
        <w:t xml:space="preserve">عمر بن محمد بن أحمد بن منصور بهاء الدين الهندي الحنفي
</w:t>
      </w:r>
    </w:p>
    <w:p>
      <w:pPr/>
      <w:r>
        <w:rPr/>
        <w:t xml:space="preserve">عمر بن محمد بن أحمد بن منصور، بهاء الدين الهندي الحنفي: </w:t>
      </w:r>
    </w:p>
    <w:p/>
    <w:p>
      <w:pPr/>
      <w:r>
        <w:rPr/>
        <w:t xml:space="preserve">نزيل الحرم النبوي. كان عالما بالفقه والأصول والعربية، مع حلم وأدب، وعقل راجح وحسن خلق، جاور بالمدينة مدة، وحج في سنة ثمان وخمسين وسبعمائة، فسقط عن مركوبه إلى الأرض، فيبست أعضاؤه وبطلت حركته، وحمل إلى مكة، وتأخر عن الحج، ولم يقم بعده إلا قليلا، وانتقل إلى رحمه الله تعالى.</w:t>
      </w:r>
    </w:p>
    <w:p/>
    <w:p>
      <w:pPr/>
      <w:r>
        <w:rPr/>
        <w:t xml:space="preserve">ذكره ابن فرحون في كتابه «نصيحة المشاور». ومنه لخصت هذه الترجمة، إلا أنه لم يقل: وسبعمائة، بعد سنة ثمان وخمسين، ولابد من ذلك، وإنما تركه لوضوحه في كتابه.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2026-08-05T21:24:51+03:00</dcterms:created>
  <dcterms:modified xsi:type="dcterms:W3CDTF">2026-08-05T21:24:51+03:00</dcterms:modified>
</cp:coreProperties>
</file>

<file path=docProps/custom.xml><?xml version="1.0" encoding="utf-8"?>
<Properties xmlns="http://schemas.openxmlformats.org/officeDocument/2006/custom-properties" xmlns:vt="http://schemas.openxmlformats.org/officeDocument/2006/docPropsVTypes"/>
</file>