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الله بن يحيى القرشي المخزومي المعروف بابن الهليس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يحيى القرشي المخزومي المعروف بابن الهليس اليمني
</w:t>
      </w:r>
    </w:p>
    <w:p>
      <w:pPr/>
      <w:r>
        <w:rPr/>
        <w:t xml:space="preserve">عمر بن عبد الله بن يحيى القرشي المخزومي المعروف بابن الهليس اليمني: </w:t>
      </w:r>
    </w:p>
    <w:p/>
    <w:p>
      <w:pPr/>
      <w:r>
        <w:rPr/>
        <w:t xml:space="preserve">أحد تجار اليمن. توفى في آخر العشر الأخير من ذي الحجة، سنة ثلاث وسبعين وسبعمائة، ودفن بالمعلاة. ومن حجر قبره لخصت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2026-08-05T16:29:42+03:00</dcterms:created>
  <dcterms:modified xsi:type="dcterms:W3CDTF">2026-08-05T16:29:42+03:00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