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الله بن سليمان بن السرى الريمى اليمني
</w:t>
      </w:r>
    </w:p>
    <w:p>
      <w:pPr>
        <w:jc w:val="start"/>
        <w:bidi/>
      </w:pPr>
      <w:r>
        <w:rPr>
          <w:rFonts w:ascii="arial" w:hAnsi="arial" w:eastAsia="arial" w:cs="arial"/>
          <w:sz w:val="28"/>
          <w:szCs w:val="28"/>
          <w:b w:val="1"/>
          <w:bCs w:val="1"/>
          <w:rtl/>
        </w:rPr>
        <w:t xml:space="preserve">عمر بن عبد الله بن سليمان بن السرى الريمى اليمني
</w:t>
      </w:r>
    </w:p>
    <w:p>
      <w:pPr/>
      <w:r>
        <w:rPr/>
        <w:t xml:space="preserve">عمر بن عبد الله بن سليمان بن السرى الريمى اليمني: </w:t>
      </w:r>
    </w:p>
    <w:p/>
    <w:p>
      <w:pPr/>
      <w:r>
        <w:rPr/>
        <w:t xml:space="preserve">ذكره الشيخ عبد الله اليافعي في تاريخه، وقال: توفى سنة خمسين وخمسمائة حاجا، وترجمه بالفقيه الفاضل الورع الزاهد، وقال: روى القاضي أبو الطيب طاهر بن يحيى بن أبي الخير اليمنى، أنه كان قد أصابه بثرات في وجهه، فرام معالجتها على يد الحكيم، وارتحل إليه، وكان في ذي جبلة. فرأي ليلة وصوله إليها، عيسى بن مريم عليه السلام، فقال: يا روح الله، امسح على وجهى، وادع لى، ففعل. فلما قام من آخر الليل، وأمر الماء على وجهه، وجد فيه خفة، وأحس عافية، فاستبشر بصدق رؤياه، فلما أسفر، نظر وجهه في المرآة، وإذا وجهه قد أصح وأنار، فحمد الله، ورجع إلى منزله، قد عافاه الحكيم العليم. انتهى. وذكره الجندي.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2026-10-09T19:07:51+03:00</dcterms:created>
  <dcterms:modified xsi:type="dcterms:W3CDTF">2026-10-09T19:07:51+03:00</dcterms:modified>
</cp:coreProperties>
</file>

<file path=docProps/custom.xml><?xml version="1.0" encoding="utf-8"?>
<Properties xmlns="http://schemas.openxmlformats.org/officeDocument/2006/custom-properties" xmlns:vt="http://schemas.openxmlformats.org/officeDocument/2006/docPropsVTypes"/>
</file>