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عمارة بن جياش بن أبي ثامر المبارك القاسمي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عمارة بن جياش بن أبي ثامر المبارك القاسمي
</w:t>
      </w:r>
    </w:p>
    <w:p>
      <w:pPr/>
      <w:r>
        <w:rPr/>
        <w:t xml:space="preserve">عمارة بن جياش بن أبي ثامر المبارك القاسمي: </w:t>
      </w:r>
    </w:p>
    <w:p/>
    <w:p>
      <w:pPr/>
      <w:r>
        <w:rPr/>
        <w:t xml:space="preserve">توفى في يوم الأربعاء ثاني رجب سنة اثنتين وسبعين وخمسمائة، ودفن بالمعلاة، ومن حجر قبره كتبت هذه الترجمة، وترجم فيه: بالقائد.</w:t>
      </w:r>
    </w:p>
    <w:p/>
    <w:p>
      <w:pPr/>
      <w:r>
        <w:rPr/>
        <w:t xml:space="preserve">والقاسمى نسبة إلى أبي القاسم محمد بن جعفر بن محمد بن عبد الله بن أبي هاشم الحسني أمير مكة.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2026-08-05T21:30:38+03:00</dcterms:created>
  <dcterms:modified xsi:type="dcterms:W3CDTF">2026-08-05T21:30:38+03:00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