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يوسف بن سالم بن عطية بن صالح بن عبد النبي الجهني المكي المعروف بابن أبي إصبع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يوسف بن سالم بن عطية بن صالح بن عبد النبي الجهني المكي المعروف بابن أبي إصبع
</w:t>
      </w:r>
    </w:p>
    <w:p>
      <w:pPr/>
      <w:r>
        <w:rPr/>
        <w:t xml:space="preserve">علي بن يوسف بن سالم بن عطية بن صالح بن عبد النبي الجهني المكي، المعروف بابن أبي إصبع: </w:t>
      </w:r>
    </w:p>
    <w:p/>
    <w:p>
      <w:pPr/>
      <w:r>
        <w:rPr/>
        <w:t xml:space="preserve">هكذا أملى على نسبه ابن أخيه عبد الرحمن بن يحيى. سمع من القاضي عز الدين بن جماعة، والفخر النويري: بعض سنن النسائي، سنة ثلاث وخمسين وسبعمائة وكان يتردد إلى اليمن للتجارة، فأدركه الأجل بعدن منها، في آخر سنة أربع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2026-08-05T17:36:02+03:00</dcterms:created>
  <dcterms:modified xsi:type="dcterms:W3CDTF">2026-08-05T17:36:02+03:00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