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يحيى بن عبد العليم اليمني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يحيى بن عبد العليم اليمني
</w:t>
      </w:r>
    </w:p>
    <w:p>
      <w:pPr/>
      <w:r>
        <w:rPr/>
        <w:t xml:space="preserve">علي بن يحيى بن عبد العليم اليمني: </w:t>
      </w:r>
    </w:p>
    <w:p/>
    <w:p>
      <w:pPr/>
      <w:r>
        <w:rPr/>
        <w:t xml:space="preserve">ذكره الجندي في تاريخ أهل اليمن، وذكر أنه أخذ عن الحافظ علي بن أبي بكر العرشاني: الأربعين الآجرية. وتوفى سنة خمس وتسعين وخمسمائة بمكة، وكان فقيها جليلا كبيرا.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2026-08-05T18:16:50+03:00</dcterms:created>
  <dcterms:modified xsi:type="dcterms:W3CDTF">2026-08-05T18:16:50+03:00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