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هاشم بن علي بن مسعود بن غزوان القرشي الهاشمي المكي الشافعي الفقيه نور الدين أبو الحسن
</w:t>
      </w:r>
    </w:p>
    <w:p>
      <w:pPr>
        <w:jc w:val="start"/>
        <w:bidi/>
      </w:pPr>
      <w:r>
        <w:rPr>
          <w:rFonts w:ascii="arial" w:hAnsi="arial" w:eastAsia="arial" w:cs="arial"/>
          <w:sz w:val="28"/>
          <w:szCs w:val="28"/>
          <w:b w:val="1"/>
          <w:bCs w:val="1"/>
          <w:rtl/>
        </w:rPr>
        <w:t xml:space="preserve">علي بن هاشم بن علي بن مسعود بن غزوان القرشي الهاشمي المكي الشافعي الفقيه نور الدين أبو الحسن
</w:t>
      </w:r>
    </w:p>
    <w:p>
      <w:pPr/>
      <w:r>
        <w:rPr/>
        <w:t xml:space="preserve">علي بن هاشم بن علي بن مسعود بن غزوان القرشي الهاشمي المكي الشافعي، الفقيه نور الدين أبو الحسن: </w:t>
      </w:r>
    </w:p>
    <w:p/>
    <w:p>
      <w:pPr/>
      <w:r>
        <w:rPr/>
        <w:t xml:space="preserve">سمع الحديث كثيرا على جماعة من شيوخنا، منهم جمال الدين إبراهيم الأميوطي، والعفيف عبد الله محمد النشاورى، وإبراهيم بن محمد بن صديق، وتفقه كثيرا بقاضي مكة، جمال الدين محمد بن عبد الله بن ظهيرة وغيره، وكان بصيرا بالفقه، حسن المذاكرة خيرا، وسافر إلى اليمن للتجارة غير مرة.</w:t>
      </w:r>
    </w:p>
    <w:p/>
    <w:p>
      <w:pPr/>
      <w:r>
        <w:rPr/>
        <w:t xml:space="preserve">وتوفى يوم الجمعة ثامن عشر جمادى الأولى من سنة ست وعشرين وثمانمائة بمكة، ودفن بالمعلاة في عصره، وقد جاوز الستين، بنحو سنة أو سنتين.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2026-10-09T19:10:30+03:00</dcterms:created>
  <dcterms:modified xsi:type="dcterms:W3CDTF">2026-10-09T19:10:30+03:00</dcterms:modified>
</cp:coreProperties>
</file>

<file path=docProps/custom.xml><?xml version="1.0" encoding="utf-8"?>
<Properties xmlns="http://schemas.openxmlformats.org/officeDocument/2006/custom-properties" xmlns:vt="http://schemas.openxmlformats.org/officeDocument/2006/docPropsVTypes"/>
</file>