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الجمال عيسى المصري أبو الحسن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الجمال عيسى المصري أبو الحسن المكي
</w:t>
      </w:r>
    </w:p>
    <w:p>
      <w:pPr/>
      <w:r>
        <w:rPr/>
        <w:t xml:space="preserve">علي بن الجمال عيسى المصري، أبو الحسن المكي: </w:t>
      </w:r>
    </w:p>
    <w:p/>
    <w:p>
      <w:pPr/>
      <w:r>
        <w:rPr/>
        <w:t xml:space="preserve">سمع من العفيف الدلاصى «وصايا العلماء»: لابن زبر، في ذي القعدة سنة إحدى عشرة وسبعمائة، ثم قرأ على الشيخ خضر بن حسن النابتي: الصحيحين، وما أدري هل حدث أم لا، ولا متى مات، إلا أنه أجاز لشيخنا ابن سكر، كما ذكر، مع جماعة من الشيوخ، في استدعاء مؤرخ بشوال سنة خمس وستين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2026-10-09T20:56:28+03:00</dcterms:created>
  <dcterms:modified xsi:type="dcterms:W3CDTF">2026-10-09T20:56:28+03:00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