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الله بن علي بن محمد بن عبد السلام بن أبي المعالى الكازرونى أبو الحسن المكي الملقب نور الدين
</w:t>
      </w:r>
    </w:p>
    <w:p>
      <w:pPr>
        <w:jc w:val="start"/>
        <w:bidi/>
      </w:pPr>
      <w:r>
        <w:rPr>
          <w:rFonts w:ascii="arial" w:hAnsi="arial" w:eastAsia="arial" w:cs="arial"/>
          <w:sz w:val="28"/>
          <w:szCs w:val="28"/>
          <w:b w:val="1"/>
          <w:bCs w:val="1"/>
          <w:rtl/>
        </w:rPr>
        <w:t xml:space="preserve">علي بن عبد الله بن علي بن محمد بن عبد السلام بن أبي المعالى الكازرونى أبو الحسن المكي الملقب نور الدين
</w:t>
      </w:r>
    </w:p>
    <w:p>
      <w:pPr/>
      <w:r>
        <w:rPr/>
        <w:t xml:space="preserve">علي بن عبد الله بن علي بن محمد بن عبد السلام بن أبي المعالى الكازرونى، أبو الحسن المكي، الملقب نور الدين: </w:t>
      </w:r>
    </w:p>
    <w:p/>
    <w:p>
      <w:pPr/>
      <w:r>
        <w:rPr/>
        <w:t xml:space="preserve">مؤذن الحرم الشريف. سمع من الرضى الطبري: سنن أبي داود وسنن النسائي، وغير ذلك، عليه وعلى غيره، وما علمته حدث. وذكر شيخنا ابن سكر، أنه أجاز له. قال: وكان رجلا صالحا. انتهى.</w:t>
      </w:r>
    </w:p>
    <w:p/>
    <w:p>
      <w:pPr/>
      <w:r>
        <w:rPr/>
        <w:t xml:space="preserve">توفى ثالث جمادى الأولى سنة خمس وستين وسبعمائة بمكة، ودفن بالمعلاة، أخبرني بوفاته، ولده بهاء الدين عبد الله بن علي، رئيس المؤذنين بالحرم الشريف، وأخبرني أنه ولد في سنة ثمان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2026-10-09T21:54:50+03:00</dcterms:created>
  <dcterms:modified xsi:type="dcterms:W3CDTF">2026-10-09T21:54:50+03:00</dcterms:modified>
</cp:coreProperties>
</file>

<file path=docProps/custom.xml><?xml version="1.0" encoding="utf-8"?>
<Properties xmlns="http://schemas.openxmlformats.org/officeDocument/2006/custom-properties" xmlns:vt="http://schemas.openxmlformats.org/officeDocument/2006/docPropsVTypes"/>
</file>