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الله بن الحسن بن جهضم بن سعيد الهمداني الصوفي أبو الحسن
</w:t>
      </w:r>
    </w:p>
    <w:p>
      <w:pPr>
        <w:jc w:val="start"/>
        <w:bidi/>
      </w:pPr>
      <w:r>
        <w:rPr>
          <w:rFonts w:ascii="arial" w:hAnsi="arial" w:eastAsia="arial" w:cs="arial"/>
          <w:sz w:val="28"/>
          <w:szCs w:val="28"/>
          <w:b w:val="1"/>
          <w:bCs w:val="1"/>
          <w:rtl/>
        </w:rPr>
        <w:t xml:space="preserve">علي بن عبد الله بن الحسن بن جهضم بن سعيد الهمداني الصوفي أبو الحسن
</w:t>
      </w:r>
    </w:p>
    <w:p>
      <w:pPr/>
      <w:r>
        <w:rPr/>
        <w:t xml:space="preserve">علي بن عبد الله بن الحسن بن جهضم بن سعيد الهمداني الصوفي أبو الحسن: </w:t>
      </w:r>
    </w:p>
    <w:p/>
    <w:p>
      <w:pPr/>
      <w:r>
        <w:rPr/>
        <w:t xml:space="preserve">نزيل مكة، صاحب كتاب «بهجة الأسرار»، حدث عن أبي الحسن علي بن إبراهيم بن سلمة القطان، وأبي علي بن زياد القطان، وأحمد بن الحسن بن عتبة الرازي، وأحمد بن عطيه بن إبراهيم بن عطية الحداد، وأحمد بن عثمان الأدمى، وعبد الرحمن بن حمدان الجلاب وعلي بن أبي العقب، وأبي بكر بن أبي دجانة، وجمح بن القاسم المؤذن، وطائفة.</w:t>
      </w:r>
    </w:p>
    <w:p/>
    <w:p>
      <w:pPr/>
      <w:r>
        <w:rPr/>
        <w:t xml:space="preserve">روى عنه عبد الغنى بن سعيد الحافظ، وإبراهيم بن محمد الحنائى، وأبو عبد الله محمد بن سلامة القضاعى، وأبو يعلى الأهوازى، وأبو الحسن أحمد بن عبد الواحد بن أبي الحديد، وخلق كثير من المغاربة والحجاج، وصنف «بهجة الأسرار في أخبار الصوفية».</w:t>
      </w:r>
    </w:p>
    <w:p/>
    <w:p>
      <w:pPr/>
      <w:r>
        <w:rPr/>
        <w:t xml:space="preserve">قال ابن خيرون. تكلم فيه. قال: وقيل إنه يكذب. وقال شيرويه الديلمي: وكان ثقة صدوقا عالما زاهدا حسن المعاملة، مذكورا في البلدان، حسن المعرفة. انتهى.</w:t>
      </w:r>
    </w:p>
    <w:p/>
    <w:p>
      <w:pPr/>
      <w:r>
        <w:rPr/>
        <w:t xml:space="preserve">وذكره صاحب المرآة، وقال: ذكره جدي في المنتظم، وقال: ذكروا أنه كان كذابا، ويقال إنه وضع حديث صلاة الرغائب. وذكر أن جده، ذكر الحديث في «الموضوعات» وذكر أنه مات بمكة في سنة أربع عشرة وأربعمائة، وهكذا ذكر وفاته الذهبي في «تاريخ الإسلام» ومنه كتبت أكثر هذه الترجمة، وأورد في ترجمته، حديث صلاة الرغائب.</w:t>
      </w:r>
    </w:p>
    <w:p/>
    <w:p>
      <w:pPr/>
      <w:r>
        <w:rPr/>
        <w:t xml:space="preserve">وقال: لا يعرف إلا من روايته، واتهموه بوضعه. وكذا ذكر وفاته في العبر، وترجمه بشيخ الصوفية في الحرم.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2026-10-09T21:51:48+03:00</dcterms:created>
  <dcterms:modified xsi:type="dcterms:W3CDTF">2026-10-09T21:51:48+03:00</dcterms:modified>
</cp:coreProperties>
</file>

<file path=docProps/custom.xml><?xml version="1.0" encoding="utf-8"?>
<Properties xmlns="http://schemas.openxmlformats.org/officeDocument/2006/custom-properties" xmlns:vt="http://schemas.openxmlformats.org/officeDocument/2006/docPropsVTypes"/>
</file>