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حكيم بن السعدي أبو الحسن
</w:t>
      </w:r>
    </w:p>
    <w:p>
      <w:pPr>
        <w:jc w:val="start"/>
        <w:bidi/>
      </w:pPr>
      <w:r>
        <w:rPr>
          <w:rFonts w:ascii="arial" w:hAnsi="arial" w:eastAsia="arial" w:cs="arial"/>
          <w:sz w:val="28"/>
          <w:szCs w:val="28"/>
          <w:b w:val="1"/>
          <w:bCs w:val="1"/>
          <w:rtl/>
        </w:rPr>
        <w:t xml:space="preserve">علي بن حكيم بن السعدي أبو الحسن
</w:t>
      </w:r>
    </w:p>
    <w:p>
      <w:pPr/>
      <w:r>
        <w:rPr/>
        <w:t xml:space="preserve">علي بن حكيم بن السعدي، أبو الحسن: </w:t>
      </w:r>
    </w:p>
    <w:p/>
    <w:p>
      <w:pPr/>
      <w:r>
        <w:rPr/>
        <w:t xml:space="preserve">من أهل سمرقند، يروى عن وكيع بن الجراح. روى عن أهل بلده، مات سنة خمس وثلاثين ومائتين. وكان صاحب سنة وفضل، جاور بمكة قريبا من عشرين سنة. وقد كتب أصناف وكيع كلها عنه، ذكره ابن حبان في الطبقة الرابعة من الثقات.</w:t>
      </w:r>
    </w:p>
    <w:p/>
    <w:p>
      <w:pPr/>
      <w:r>
        <w:rPr/>
        <w:t xml:space="preserve">وذكره في التذهيب، وذكر أنه يروى عن أبي خالد الأحمر، وابن عيينة، وأبي مقاتل حفص بن مسلم، ووكيع. عنه جعفر الفريابى، وجيهان الفرغانى، وجماعة.</w:t>
      </w:r>
    </w:p>
    <w:p/>
    <w:p>
      <w:pPr/>
      <w:r>
        <w:rPr/>
        <w:t xml:space="preserve">قال الخطيب: كان فقيها زاهدا يعرف بعلي البكاء، لكثرة بكائه، جاور بمكة نحوا من عشرين سنة، وكان ثقة. مات سنة خمس وثلاثين ومائتين.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2026-08-05T21:24:01+03:00</dcterms:created>
  <dcterms:modified xsi:type="dcterms:W3CDTF">2026-08-05T21:24:01+03:00</dcterms:modified>
</cp:coreProperties>
</file>

<file path=docProps/custom.xml><?xml version="1.0" encoding="utf-8"?>
<Properties xmlns="http://schemas.openxmlformats.org/officeDocument/2006/custom-properties" xmlns:vt="http://schemas.openxmlformats.org/officeDocument/2006/docPropsVTypes"/>
</file>