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الحسن بن علي بن يوسف بن أبي بكر بن أبي الفتح بن علي السجزي المكي الملقب بالتاج الحنفي
</w:t>
      </w:r>
    </w:p>
    <w:p>
      <w:pPr>
        <w:jc w:val="start"/>
        <w:bidi/>
      </w:pPr>
      <w:r>
        <w:rPr>
          <w:rFonts w:ascii="arial" w:hAnsi="arial" w:eastAsia="arial" w:cs="arial"/>
          <w:sz w:val="28"/>
          <w:szCs w:val="28"/>
          <w:b w:val="1"/>
          <w:bCs w:val="1"/>
          <w:rtl/>
        </w:rPr>
        <w:t xml:space="preserve">علي بن الحسن بن علي بن يوسف بن أبي بكر بن أبي الفتح بن علي السجزي المكي الملقب بالتاج الحنفي
</w:t>
      </w:r>
    </w:p>
    <w:p>
      <w:pPr/>
      <w:r>
        <w:rPr/>
        <w:t xml:space="preserve">علي بن الحسن بن علي بن يوسف بن أبي بكر بن أبي الفتح بن علي السجزي المكي الملقب بالتاج الحنفي: </w:t>
      </w:r>
    </w:p>
    <w:p/>
    <w:p>
      <w:pPr/>
      <w:r>
        <w:rPr/>
        <w:t xml:space="preserve">سمع [ ........ ] وعلى فاطمة وعائشة بنتى القطب القسطلاني: سداسيات الرازي، في شعبان سنة إحدى عشرة وسبعمائة، وأجاز له: الدشتى، والقاضي سليمان بن حمزة، وجماعة من شيوخ ابن خليل باستدعائه. وكان التاج هذا، ينازع ابن أخيه أبا الفتح بن يوسف في الإمامة بمقام الحنفية، وكان هذا يؤم مدة والآخر مدة، إلى أن توفى التاج، ولم يكن لديه علم، وكانت وفاته في سنة ثلاث وستين وسبعمائة بنخلة، ونقل إلى المعلاة، فدفن بها.</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2026-10-09T21:55:40+03:00</dcterms:created>
  <dcterms:modified xsi:type="dcterms:W3CDTF">2026-10-09T21:55:40+03:00</dcterms:modified>
</cp:coreProperties>
</file>

<file path=docProps/custom.xml><?xml version="1.0" encoding="utf-8"?>
<Properties xmlns="http://schemas.openxmlformats.org/officeDocument/2006/custom-properties" xmlns:vt="http://schemas.openxmlformats.org/officeDocument/2006/docPropsVTypes"/>
</file>