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بكر بن عمران المكي العطار
</w:t>
      </w:r>
    </w:p>
    <w:p>
      <w:pPr>
        <w:jc w:val="start"/>
        <w:bidi/>
      </w:pPr>
      <w:r>
        <w:rPr>
          <w:rFonts w:ascii="arial" w:hAnsi="arial" w:eastAsia="arial" w:cs="arial"/>
          <w:sz w:val="28"/>
          <w:szCs w:val="28"/>
          <w:b w:val="1"/>
          <w:bCs w:val="1"/>
          <w:rtl/>
        </w:rPr>
        <w:t xml:space="preserve">علي بن أبي بكر بن عمران المكي العطار
</w:t>
      </w:r>
    </w:p>
    <w:p>
      <w:pPr/>
      <w:r>
        <w:rPr/>
        <w:t xml:space="preserve">علي بن أبي بكر بن عمران المكي العطار: </w:t>
      </w:r>
    </w:p>
    <w:p/>
    <w:p>
      <w:pPr/>
      <w:r>
        <w:rPr/>
        <w:t xml:space="preserve">كان ذا ملاءة وتسبب فيها، واستفاد أملاكا بمكة وبشرا من وادى نخلة، وشهد عليه بعد موته، بوقفه لملك حسن من أملاكه بمكة، وهي دار بأعلاها قريبا من المسعي، وأنه جعلها رباطا للفقراء، وسكنوها بعد ثبوت ذلك.</w:t>
      </w:r>
    </w:p>
    <w:p/>
    <w:p>
      <w:pPr/>
      <w:r>
        <w:rPr/>
        <w:t xml:space="preserve">وكان موته في سنة إحدى وثمانمائة، في شوال أو ذي القعدة، ظنا غالبا وأظنه جاوز الستين، وخلف بنتا وعصبة، فماتت البنت، وورثها العصبة، وزال من أيديهم ما ورثوه.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2026-10-09T21:49:58+03:00</dcterms:created>
  <dcterms:modified xsi:type="dcterms:W3CDTF">2026-10-09T21:49:58+03:00</dcterms:modified>
</cp:coreProperties>
</file>

<file path=docProps/custom.xml><?xml version="1.0" encoding="utf-8"?>
<Properties xmlns="http://schemas.openxmlformats.org/officeDocument/2006/custom-properties" xmlns:vt="http://schemas.openxmlformats.org/officeDocument/2006/docPropsVTypes"/>
</file>