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عطيفة بن محمد بن عطيفة بن أبي نمى الحسني المكي
</w:t>
      </w:r>
    </w:p>
    <w:p>
      <w:pPr>
        <w:jc w:val="start"/>
        <w:bidi/>
      </w:pPr>
      <w:r>
        <w:rPr>
          <w:rFonts w:ascii="arial" w:hAnsi="arial" w:eastAsia="arial" w:cs="arial"/>
          <w:sz w:val="28"/>
          <w:szCs w:val="28"/>
          <w:b w:val="1"/>
          <w:bCs w:val="1"/>
          <w:rtl/>
        </w:rPr>
        <w:t xml:space="preserve">عطيفة بن محمد بن عطيفة بن أبي نمى الحسني المكي
</w:t>
      </w:r>
    </w:p>
    <w:p>
      <w:pPr/>
      <w:r>
        <w:rPr/>
        <w:t xml:space="preserve">عطيفة بن محمد بن عطيفة بن أبي نمى الحسني المكي: </w:t>
      </w:r>
    </w:p>
    <w:p/>
    <w:p>
      <w:pPr/>
      <w:r>
        <w:rPr/>
        <w:t xml:space="preserve">حفيد السابق. كان محمد بن أحمد بن عجلان، عند موت أبيه، أرسله إلى صاحب مصر الملك الظاهر، ليأتيه بالولاية منه، فذهب وعاد ومعه تقليد وتشريف للمذكور، بولايته إمرة مكة، في آخر شوال، أو في أوائل ذي القعدة، من السنة التي توفى فيها أبوه، وهي سنة ثمان وثمانين وسبعمائة.</w:t>
      </w:r>
    </w:p>
    <w:p/>
    <w:p>
      <w:pPr/>
      <w:r>
        <w:rPr/>
        <w:t xml:space="preserve">ومات عطيفة في السنة التي بعدها، أو في سنة تسعين وسبعمائة، وكان أسود.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2026-08-05T21:31:13+03:00</dcterms:created>
  <dcterms:modified xsi:type="dcterms:W3CDTF">2026-08-05T21:31:13+03:00</dcterms:modified>
</cp:coreProperties>
</file>

<file path=docProps/custom.xml><?xml version="1.0" encoding="utf-8"?>
<Properties xmlns="http://schemas.openxmlformats.org/officeDocument/2006/custom-properties" xmlns:vt="http://schemas.openxmlformats.org/officeDocument/2006/docPropsVTypes"/>
</file>