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عبد العزيز بن هاشم بن المطلب بن عبد مناف القرشي المطلبى. أبو ركانة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عبد العزيز بن هاشم بن المطلب بن عبد مناف القرشي المطلبى. أبو ركانة
</w:t>
      </w:r>
    </w:p>
    <w:p>
      <w:pPr/>
      <w:r>
        <w:rPr/>
        <w:t xml:space="preserve">عبد العزيز بن هاشم بن المطلب بن عبد مناف القرشي المطلبى. أبو ركانة: </w:t>
      </w:r>
    </w:p>
    <w:p/>
    <w:p>
      <w:pPr/>
      <w:r>
        <w:rPr/>
        <w:t xml:space="preserve">ذكره الذهبي. وقال: يقال: إنه طلق أم ركانة، قال: وهذا لا يصح، والمعروف أن صاحب القصة ركانة.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العقد الثمين فى تاريخ البلد الأمين،(دار الكتب العلمية، بيروت - لبنان،1998،ط 1،ج 5،ص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2026-10-10T00:07:40+03:00</dcterms:created>
  <dcterms:modified xsi:type="dcterms:W3CDTF">2026-10-10T00:07:40+03:00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