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بن أحمد المحلي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بن أحمد المحلي
</w:t>
      </w:r>
    </w:p>
    <w:p>
      <w:pPr/>
      <w:r>
        <w:rPr/>
        <w:t xml:space="preserve">عبد اللطيف بن أحمد المحلي </w:t>
      </w:r>
    </w:p>
    <w:p/>
    <w:p>
      <w:pPr/>
      <w:r>
        <w:rPr/>
        <w:t xml:space="preserve">الشهير بابن الإمام [ .... ]:</w:t>
      </w:r>
    </w:p>
    <w:p/>
    <w:p>
      <w:pPr/>
      <w:r>
        <w:rPr/>
        <w:t xml:space="preserve">توفى في أوائل ذي الحجة سنة سبع وثمانمائة بمكة. ودفن بالمعلاة. شهدت جنازته.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2026-08-05T20:00:00+03:00</dcterms:created>
  <dcterms:modified xsi:type="dcterms:W3CDTF">2026-08-05T20:00:00+03:00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