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أبي نمى محمد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أبي نمى محمد بن أبي سعد حسن بن علي بن قتادة الحسني المكي
</w:t>
      </w:r>
    </w:p>
    <w:p>
      <w:pPr/>
      <w:r>
        <w:rPr/>
        <w:t xml:space="preserve">عبد الكريم بن أبي نمى محمد بن أبي سعد حسن بن علي بن قتادة الحسني المكي: </w:t>
      </w:r>
    </w:p>
    <w:p/>
    <w:p>
      <w:pPr/>
      <w:r>
        <w:rPr/>
        <w:t xml:space="preserve">توفى يوم الاثنين، الثاني عشر من المحرم، سنة ثلاث وأربعين وسبعمائة، وكان أخوه</w:t>
      </w:r>
    </w:p>
    <w:p/>
    <w:p>
      <w:pPr/>
      <w:r>
        <w:rPr/>
        <w:t xml:space="preserve">رميثة، أمر بقطع نخله، لملاءمته لأخيه عطيفة، لما انفرد رميثة بالإمرة، في آخر سنة سبع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