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جار الله بن صالح بن أبي المنصور أحمد بن عبد الكريم ابن أبي المعالى الشيبانى المكي
</w:t>
      </w:r>
    </w:p>
    <w:p>
      <w:pPr>
        <w:jc w:val="start"/>
        <w:bidi/>
      </w:pPr>
      <w:r>
        <w:rPr>
          <w:rFonts w:ascii="arial" w:hAnsi="arial" w:eastAsia="arial" w:cs="arial"/>
          <w:sz w:val="28"/>
          <w:szCs w:val="28"/>
          <w:b w:val="1"/>
          <w:bCs w:val="1"/>
          <w:rtl/>
        </w:rPr>
        <w:t xml:space="preserve">عبد الكريم بن جار الله بن صالح بن أبي المنصور أحمد بن عبد الكريم ابن أبي المعالى الشيبانى المكي
</w:t>
      </w:r>
    </w:p>
    <w:p>
      <w:pPr/>
      <w:r>
        <w:rPr/>
        <w:t xml:space="preserve">عبد الكريم بن جار الله بن صالح بن أبي المنصور أحمد بن عبد الكريم ابن أبي المعالى الشيبانى المكي: </w:t>
      </w:r>
    </w:p>
    <w:p/>
    <w:p>
      <w:pPr/>
      <w:r>
        <w:rPr/>
        <w:t xml:space="preserve">كان من طلبة الحنفية بمكة، ودخل ديار مصر، طلبا للرزق غير مرة. وناب في إصلاح بعض أمور الناس بجدة، وخطب بها نيابة عن أخيه قاضي جدة، نور الدين على ابن جار الله.</w:t>
      </w:r>
    </w:p>
    <w:p/>
    <w:p>
      <w:pPr/>
      <w:r>
        <w:rPr/>
        <w:t xml:space="preserve">وتوفى في يوم الخميس ثامن عشرى ربيع الآخر سنة سبع وعشرين وثمانمائة بمكة، وهو في أثناء عشر الثلاثين ظنا،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2026-10-10T01:01:00+03:00</dcterms:created>
  <dcterms:modified xsi:type="dcterms:W3CDTF">2026-10-10T01:01:00+03:00</dcterms:modified>
</cp:coreProperties>
</file>

<file path=docProps/custom.xml><?xml version="1.0" encoding="utf-8"?>
<Properties xmlns="http://schemas.openxmlformats.org/officeDocument/2006/custom-properties" xmlns:vt="http://schemas.openxmlformats.org/officeDocument/2006/docPropsVTypes"/>
</file>