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بن أبي الفتح محمد بن أبي المكارم أحمد بن أبي عبد الله محمد بن محمد بن عبد الرحمن الحسني
</w:t>
      </w:r>
    </w:p>
    <w:p>
      <w:pPr>
        <w:jc w:val="start"/>
        <w:bidi/>
      </w:pPr>
      <w:r>
        <w:rPr>
          <w:rFonts w:ascii="arial" w:hAnsi="arial" w:eastAsia="arial" w:cs="arial"/>
          <w:sz w:val="28"/>
          <w:szCs w:val="28"/>
          <w:b w:val="1"/>
          <w:bCs w:val="1"/>
          <w:rtl/>
        </w:rPr>
        <w:t xml:space="preserve">عبد القادر بن أبي الفتح محمد بن أبي المكارم أحمد بن أبي عبد الله محمد بن محمد بن عبد الرحمن الحسني
</w:t>
      </w:r>
    </w:p>
    <w:p>
      <w:pPr/>
      <w:r>
        <w:rPr/>
        <w:t xml:space="preserve">عبد القادر بن أبي الفتح محمد بن أبي المكارم أحمد بن أبي عبد الله محمد بن محمد بن عبد الرحمن الحسني الفاسي المكي الحنبلي، القاضي محيي الدين، بن السيد شهاب الدين: </w:t>
      </w:r>
    </w:p>
    <w:p/>
    <w:p>
      <w:pPr/>
      <w:r>
        <w:rPr/>
        <w:t xml:space="preserve">نائب الحكم بمكة، ونائب الإمامة بمقام الحنابلة بالمسجد الحرام، ولد في سنة إحدى وتسعين وسبعمائة، وعنى بدرس القرآن. فلما بلغ، أكثر من تجويده وقراءته. وكان قرأ حفظا في «العمدة» في الفقه، للشيخ موفق الدين بن قدامة الحنبلي، ولعله أكملها، أقبل كثيرا على النظر في كتب فقه الحنابلة وغيرها، فتنبه في الفقه وغيره، وأفتى في وقائع كثيرة.</w:t>
      </w:r>
    </w:p>
    <w:p/>
    <w:p>
      <w:pPr/>
      <w:r>
        <w:rPr/>
        <w:t xml:space="preserve">وناب في الحكم عن أخيه شقيقه القاضي سراج الدين عبد اللطيف في سنة عشر</w:t>
      </w:r>
    </w:p>
    <w:p/>
    <w:p>
      <w:pPr/>
      <w:r>
        <w:rPr/>
        <w:t xml:space="preserve">وثمانمائة، وإلى أن توفى، إلا أنه عزل عن ذلك مرات كثيرة، منها ثلاث مرات: في سنة إحدى وعشرين وثمانمائة، ومرة في سنة عشرين، ومرة في سنة اثنتين وعشرين.</w:t>
      </w:r>
    </w:p>
    <w:p/>
    <w:p>
      <w:pPr/>
      <w:r>
        <w:rPr/>
        <w:t xml:space="preserve">ومما عزل لأجله: إثباته الأحكام بالشهادة على خط الشاهد الميت أو الغائب، وتعلق في ذلك بما وقع للإمام أحمد بن حنبل، من نفوذ وصية الميت، إذا وجدت عند رأسه بخطه. فعدي المذكور هذا الحكم إلى غير الوصية من الأحكام، ولم يوافقه على ذلك علماء عصره، وتمسك في ذلك بغير مسألة الوصية، وكان متمسكه ضعيفا أيضا وكانت فيه حدة وقوة نفس، ولذلك هابه الناس واحترموه. ودرس عن أخيه بالمدرسة البنجالية بمكة.</w:t>
      </w:r>
    </w:p>
    <w:p/>
    <w:p>
      <w:pPr/>
      <w:r>
        <w:rPr/>
        <w:t xml:space="preserve">وتوفى وقت الظهر، من يوم الأربعاء الثاني والعشرين من شعبان المكرم، سنة سبع وعشرين وثمانمائة بمكة، وصلى عليه عقيب صلاة العصر، خلف مقام الحنابلة بوصية منه. ودفن بالمعلاة، سامحه الله تعالى، وهو ابن عم أبى، رحمهم الله تعالى.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2026-10-10T00:59:09+03:00</dcterms:created>
  <dcterms:modified xsi:type="dcterms:W3CDTF">2026-10-10T00:59:09+03:00</dcterms:modified>
</cp:coreProperties>
</file>

<file path=docProps/custom.xml><?xml version="1.0" encoding="utf-8"?>
<Properties xmlns="http://schemas.openxmlformats.org/officeDocument/2006/custom-properties" xmlns:vt="http://schemas.openxmlformats.org/officeDocument/2006/docPropsVTypes"/>
</file>