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دانيال بن عبد العزيز بن علي بن عثمان الأصبهاني الأصل المكي المولد والدار المعروف بالعجمي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دانيال بن عبد العزيز بن علي بن عثمان الأصبهاني الأصل المكي المولد والدار المعروف بالعجمي
</w:t>
      </w:r>
    </w:p>
    <w:p>
      <w:pPr/>
      <w:r>
        <w:rPr/>
        <w:t xml:space="preserve">عبد العزيز بن دانيال بن عبد العزيز بن علي بن عثمان الأصبهاني الأصل، المكي المولد والدار، المعروف بالعجمي: </w:t>
      </w:r>
    </w:p>
    <w:p/>
    <w:p>
      <w:pPr/>
      <w:r>
        <w:rPr/>
        <w:t xml:space="preserve">كان شابا خيرا، له أملاك بوادى الهدة وغيرها. وغالب ذلك، ورثه له قرابته. توفى في العشرين من ذي القعدة، سنة إحدى عشرة وثمانمائة بمكة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2026-08-05T16:32:45+03:00</dcterms:created>
  <dcterms:modified xsi:type="dcterms:W3CDTF">2026-08-05T16:32:45+03:00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