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بندار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بندار الشيرازي
</w:t>
      </w:r>
    </w:p>
    <w:p>
      <w:pPr/>
      <w:r>
        <w:rPr/>
        <w:t xml:space="preserve">عبد العزيز بن بندار الشيرازي: </w:t>
      </w:r>
    </w:p>
    <w:p/>
    <w:p>
      <w:pPr/>
      <w:r>
        <w:rPr/>
        <w:t xml:space="preserve">نزيل مكة، سمع من قاضي الحرمين، أبي جعفر الموسوى بمصر، وحدث عن أحمد ابن فراس العبقسى المكي. وروى عنه الحافظ أبو الغنائم محمد بن علي النرسى.</w:t>
      </w:r>
    </w:p>
    <w:p/>
    <w:p>
      <w:pPr/>
      <w:r>
        <w:rPr/>
        <w:t xml:space="preserve">وذكر أبو محمد هبة الله الأكفإني في وفياته: أنه توفى بمكة في شهور سنة إحدى وخمسين وأربعمائة. وحدث عن الهروانى الكوفي،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2026-08-06T00:54:03+03:00</dcterms:created>
  <dcterms:modified xsi:type="dcterms:W3CDTF">2026-08-06T00:54:03+03:00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