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الجبار بن يوسف بن صالح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الجبار بن يوسف بن صالح البغدادي
</w:t>
      </w:r>
    </w:p>
    <w:p>
      <w:pPr/>
      <w:r>
        <w:rPr/>
        <w:t xml:space="preserve">عبد الجبار بن يوسف بن صالح البغدادي: </w:t>
      </w:r>
    </w:p>
    <w:p/>
    <w:p>
      <w:pPr/>
      <w:r>
        <w:rPr/>
        <w:t xml:space="preserve">شيخ الفتوة، وحامل لوائها، ذكره ابن البزورى في ذيل المنتظم. وذكر أنه تحلى بالعفة والدين وتفرد بالعصبية والمروءة وشرف النفس والأبوة.</w:t>
      </w:r>
    </w:p>
    <w:p/>
    <w:p>
      <w:pPr/>
      <w:r>
        <w:rPr/>
        <w:t xml:space="preserve">انقطع إلى عبادة الله تعالى، بموضع اتخذه لنفسه وبناه، فاستدعاه الإمام الناصر لدين الله - يعنى العباسي - إليه، فلذلك صار المعول عليه.</w:t>
      </w:r>
    </w:p>
    <w:p/>
    <w:p>
      <w:pPr/>
      <w:r>
        <w:rPr/>
        <w:t xml:space="preserve">وذكر أنه خرج حاجا في سنة ثلاث وثمانين وخمسمائة، فأدركه الأجل بالمعلاة، ودفن بها.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2026-08-05T17:03:41+03:00</dcterms:created>
  <dcterms:modified xsi:type="dcterms:W3CDTF">2026-08-05T17:03:41+03:00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