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الحسن بن عبيد الله بن العباس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الحسن بن عبيد الله بن العباس بن علي بن أبي طالب
</w:t>
      </w:r>
    </w:p>
    <w:p>
      <w:pPr/>
      <w:r>
        <w:rPr/>
        <w:t xml:space="preserve">عبيد الله بن الحسن بن عبيد الله بن العباس بن علي بن أبي طالب: </w:t>
      </w:r>
    </w:p>
    <w:p/>
    <w:p>
      <w:pPr/>
      <w:r>
        <w:rPr/>
        <w:t xml:space="preserve">أمير الحرمين، ذكر ابن جرير: أن المأمون ولاه الحرمين في سنة أربع ومائتين، وحج بالناس فيها، وفي سنة خمس ومائتين، وسنة ست ومائتين.</w:t>
      </w:r>
    </w:p>
    <w:p/>
    <w:p>
      <w:pPr/>
      <w:r>
        <w:rPr/>
        <w:t xml:space="preserve">وذكر العتيقى في أمراء الموسم ما يوافق ذلك؛ لأنه قال: وحج بالناس سنة أربع ومائتين، وسنة خمس، وسنة ست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2026-10-10T03:32:54+03:00</dcterms:created>
  <dcterms:modified xsi:type="dcterms:W3CDTF">2026-10-10T03:32:54+03:00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