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يحيى القرشي المخزومي اليمنى المعروف بابن الهليس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يحيى القرشي المخزومي اليمنى المعروف بابن الهليس
</w:t>
      </w:r>
    </w:p>
    <w:p>
      <w:pPr/>
      <w:r>
        <w:rPr/>
        <w:t xml:space="preserve">عبد الله بن يحيى القرشي، المخزومي اليمنى، المعروف بابن الهليس: </w:t>
      </w:r>
    </w:p>
    <w:p/>
    <w:p>
      <w:pPr/>
      <w:r>
        <w:rPr/>
        <w:t xml:space="preserve">كان من أعيان تجار اليمن. حج في سنة اثنتين وسبعين وسبعمائة، ثم رجع إلى اليمن، فأدركه الأجل بمرسى البضيع، سنة ثلاث وسبعين وسبعمائة.</w:t>
      </w:r>
    </w:p>
    <w:p/>
    <w:p>
      <w:pPr/>
      <w:r>
        <w:rPr/>
        <w:t xml:space="preserve">ونقل إلى مكة، ودفن بها في يوم السبت ثالث صفر في السنة المذكورة.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2026-10-10T03:32:54+03:00</dcterms:created>
  <dcterms:modified xsi:type="dcterms:W3CDTF">2026-10-10T03:32:54+03:00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