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كثير صلاح الدين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كثير صلاح الدين المصري
</w:t>
      </w:r>
    </w:p>
    <w:p>
      <w:pPr/>
      <w:r>
        <w:rPr/>
        <w:t xml:space="preserve">عبد الله بن محمد بن كثير، صلاح الدين المصري: </w:t>
      </w:r>
    </w:p>
    <w:p/>
    <w:p>
      <w:pPr/>
      <w:r>
        <w:rPr/>
        <w:t xml:space="preserve">سمع من عبد الله بن علي بن عمر الصنهاجى وغيره؛ ولا أدري، هل حدث أم لا؟ .</w:t>
      </w:r>
    </w:p>
    <w:p/>
    <w:p>
      <w:pPr/>
      <w:r>
        <w:rPr/>
        <w:t xml:space="preserve">وتوفى في يوم السبت خامس ذي القعدة، سنة ثلاث وستين وسبعمائة بمكة. ودفن بالمعلاة، ذكره شيخنا الحافظ أبو زرعة في تاريخه.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2026-10-10T04:21:56+03:00</dcterms:created>
  <dcterms:modified xsi:type="dcterms:W3CDTF">2026-10-10T04:21:56+03:00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