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أبي جرادة العديمى الحنفي يلقب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أبي جرادة العديمى الحنفي يلقب جمال الدين
</w:t>
      </w:r>
    </w:p>
    <w:p>
      <w:pPr/>
      <w:r>
        <w:rPr/>
        <w:t xml:space="preserve">عبد الله بن عمرو بن أبي جرادة العديمى الحنفي، يلقب جمال الدين: </w:t>
      </w:r>
    </w:p>
    <w:p/>
    <w:p>
      <w:pPr/>
      <w:r>
        <w:rPr/>
        <w:t xml:space="preserve">قاضي القضاة بحماة وأعمالها، هكذا وجدته مذكورا في حجر قبره بالمعلاة. وذكر فيه: أنه توفى رابع عشر الحجة سنة ثلاث وثمانين وسبعمائة، وما علمت من حاله سوى هذا، وبيت ابن العديم بيت مشهور بحلب.</w:t>
      </w:r>
    </w:p>
    <w:p/>
    <w:p>
      <w:pPr/>
      <w:r>
        <w:rPr/>
        <w:t xml:space="preserve">وولى القضاء منهم بها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2026-10-10T04:23:25+03:00</dcterms:created>
  <dcterms:modified xsi:type="dcterms:W3CDTF">2026-10-10T04:23:25+03:00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