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عبد الله بن علي بن محمد بن عبد السلام
</w:t>
      </w:r>
    </w:p>
    <w:p>
      <w:pPr>
        <w:jc w:val="start"/>
        <w:bidi/>
      </w:pPr>
      <w:r>
        <w:rPr>
          <w:rFonts w:ascii="arial" w:hAnsi="arial" w:eastAsia="arial" w:cs="arial"/>
          <w:sz w:val="28"/>
          <w:szCs w:val="28"/>
          <w:b w:val="1"/>
          <w:bCs w:val="1"/>
          <w:rtl/>
        </w:rPr>
        <w:t xml:space="preserve">عبد الله بن علي بن عبد الله بن علي بن محمد بن عبد السلام
</w:t>
      </w:r>
    </w:p>
    <w:p>
      <w:pPr/>
      <w:r>
        <w:rPr/>
        <w:t xml:space="preserve">عبد الله بن علي بن عبد الله بن علي بن محمد بن عبد السلام بن أبي المعالى الكازرونى الأصل، المكي المولد والدار، يلقب بهاء الدين: </w:t>
      </w:r>
    </w:p>
    <w:p/>
    <w:p>
      <w:pPr/>
      <w:r>
        <w:rPr/>
        <w:t xml:space="preserve">كان رئيس المؤذنين بمكة المشرفة، وولى ذلك مدة سنين كثيرة، وناب في الحسبة بمكة، عن جدي قاضي مكة أبي الفضل النويري وقتا يسيرا.</w:t>
      </w:r>
    </w:p>
    <w:p/>
    <w:p>
      <w:pPr/>
      <w:r>
        <w:rPr/>
        <w:t xml:space="preserve">ولما توفى شيخنا القاضي جمال الدين بن ظهيرة، بعد عزل القاضي عز الدين بن القاضي محب الدين النويري، في موسم سنة ست وثمانمائة، استنابه أيضا في ذلك وباشره، حتى انقطع لمرضه الذي مات به، في يوم الجمعة تاسع عشرى شعبان سنة ثمان وثمانمائة بمكة، ودفن بالمعلاة في عصر يومه.</w:t>
      </w:r>
    </w:p>
    <w:p/>
    <w:p>
      <w:pPr/>
      <w:r>
        <w:rPr/>
        <w:t xml:space="preserve">ومولده في سنة اثنتين وخمسين وسبعمائة بمكة، ودخل ديار مصر واليمن غير مرة</w:t>
      </w:r>
    </w:p>
    <w:p/>
    <w:p>
      <w:pPr/>
      <w:r>
        <w:rPr/>
        <w:t xml:space="preserve">طلبا للرزق، وحصل دنيا باليمن من تجارة، ثم ذهبت منه، سامحه الله تعالى.</w:t>
      </w:r>
    </w:p>
    <w:p/>
    <w:p>
      <w:pPr/>
      <w:r>
        <w:rPr/>
        <w:t xml:space="preserve">ومما يحسن ذكره من أخباره، أنه صح لي عن صاحبنا سعد الدين مسعود بن محمد أبي شعيب البخاري المكي، وكان صاحبا لعبد الله المذكور، قال: كنت حاضرا عنده بعد أن أخذ في النزع، قال: فسمعته يقول: أنا ما أعرفك يا شيطان، أو أنت الشيطان؟ أشهد أن لا إله إلا الله، وأشهد أن محمدا رسول الله. ثم فاضت روحه عقيب كلامه. هذا معنى ما بلغني عنه في هذه الحكاية، وكأن الشيطان تراءى له ليفتنه، فعصمه الله تعالى، ولعل ذلك ببركة ذكر الله في الأسحار التي يعتاد المؤذنون فعلها كل ليلة.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2026-08-05T16:29:35+03:00</dcterms:created>
  <dcterms:modified xsi:type="dcterms:W3CDTF">2026-08-05T16:29:35+03:00</dcterms:modified>
</cp:coreProperties>
</file>

<file path=docProps/custom.xml><?xml version="1.0" encoding="utf-8"?>
<Properties xmlns="http://schemas.openxmlformats.org/officeDocument/2006/custom-properties" xmlns:vt="http://schemas.openxmlformats.org/officeDocument/2006/docPropsVTypes"/>
</file>