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الملك بن الشيخ أبي محمد عبد الله
</w:t>
      </w:r>
    </w:p>
    <w:p>
      <w:pPr>
        <w:jc w:val="start"/>
        <w:bidi/>
      </w:pPr>
      <w:r>
        <w:rPr>
          <w:rFonts w:ascii="arial" w:hAnsi="arial" w:eastAsia="arial" w:cs="arial"/>
          <w:sz w:val="28"/>
          <w:szCs w:val="28"/>
          <w:b w:val="1"/>
          <w:bCs w:val="1"/>
          <w:rtl/>
        </w:rPr>
        <w:t xml:space="preserve">عبد الله بن عبد الملك بن الشيخ أبي محمد عبد الله
</w:t>
      </w:r>
    </w:p>
    <w:p>
      <w:pPr/>
      <w:r>
        <w:rPr/>
        <w:t xml:space="preserve">عبد الله بن عبد الملك بن الشيخ أبي محمد عبد الله بن محمد بن محمد البكري التونسي الأصل، الإسكندري المولد، المكي الدار، المعروف بالمرجاني: </w:t>
      </w:r>
    </w:p>
    <w:p/>
    <w:p>
      <w:pPr/>
      <w:r>
        <w:rPr/>
        <w:t xml:space="preserve">سمع من [ ..... ] وألف تاريخا للمدينة النبوية، مشتملا على فوائد كثيرة، إلا أن كثيرا منها لا تعلق له بالتاريخ، سماه: «بهجة النفوس والأسرار، في تاريخ دار هجرة المختار» في مجلد رأيته بخطه، وأنه ابتدأ في تأليفه يوم التاسع من شوال، أحد شهور سنة إحدى وخمسين وسبعمائة، وتمامه يوم الجمعة، السادس عشر من الشهر المذكور، وله أيضا نظم، وكان توجه إلى بلاد المغرب وانقطع خبره.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2026-10-10T04:22:16+03:00</dcterms:created>
  <dcterms:modified xsi:type="dcterms:W3CDTF">2026-10-10T04:22:16+03:00</dcterms:modified>
</cp:coreProperties>
</file>

<file path=docProps/custom.xml><?xml version="1.0" encoding="utf-8"?>
<Properties xmlns="http://schemas.openxmlformats.org/officeDocument/2006/custom-properties" xmlns:vt="http://schemas.openxmlformats.org/officeDocument/2006/docPropsVTypes"/>
</file>