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أبي بكر بن الفقيه أحمد بن موسى بن عجيل اليمني
</w:t>
      </w:r>
    </w:p>
    <w:p>
      <w:pPr>
        <w:jc w:val="start"/>
        <w:bidi/>
      </w:pPr>
      <w:r>
        <w:rPr>
          <w:rFonts w:ascii="arial" w:hAnsi="arial" w:eastAsia="arial" w:cs="arial"/>
          <w:sz w:val="28"/>
          <w:szCs w:val="28"/>
          <w:b w:val="1"/>
          <w:bCs w:val="1"/>
          <w:rtl/>
        </w:rPr>
        <w:t xml:space="preserve">عبد الله بن أحمد بن أبي بكر بن الفقيه أحمد بن موسى بن عجيل اليمني
</w:t>
      </w:r>
    </w:p>
    <w:p>
      <w:pPr/>
      <w:r>
        <w:rPr/>
        <w:t xml:space="preserve">عبد الله بن أحمد بن أبي بكر بن الفقيه أحمد بن موسى بن عجيل اليمني: </w:t>
      </w:r>
    </w:p>
    <w:p/>
    <w:p>
      <w:pPr/>
      <w:r>
        <w:rPr/>
        <w:t xml:space="preserve">توفى في ذي الحجة سنة أربع وأربعين وسبعمائة بمكة، ودفن بالمعلاة. ومن حجر قبره نقلت نسبه هكذا ووفاته، وترجم فيه: بالفقيه العالم الصالح.</w:t>
      </w:r>
    </w:p>
    <w:p/>
    <w:p>
      <w:pPr/>
      <w:r>
        <w:rPr/>
        <w:t xml:space="preserve">وجد أبيه أحمد بن موسى، كان شيخ اليمن علما وعملا، وتوفى في شهر ربيع الأول سنة تسعين وستمائة، وما ذكره الإسنائي في طبقاته، من أنه توفى سنة أربع وثمانين، فهو وهم، لأن الجندي مؤرخ اليمن، ذكر وفاته كما ذكرنا.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2026-10-10T05:20:16+03:00</dcterms:created>
  <dcterms:modified xsi:type="dcterms:W3CDTF">2026-10-10T05:20:16+03:00</dcterms:modified>
</cp:coreProperties>
</file>

<file path=docProps/custom.xml><?xml version="1.0" encoding="utf-8"?>
<Properties xmlns="http://schemas.openxmlformats.org/officeDocument/2006/custom-properties" xmlns:vt="http://schemas.openxmlformats.org/officeDocument/2006/docPropsVTypes"/>
</file>