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طاهر بن بشير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طاهر بن بشير
</w:t>
      </w:r>
    </w:p>
    <w:p>
      <w:pPr/>
      <w:r>
        <w:rPr/>
        <w:t xml:space="preserve">طاهر بن بشير: </w:t>
      </w:r>
    </w:p>
    <w:p/>
    <w:p>
      <w:pPr/>
      <w:r>
        <w:rPr/>
        <w:t xml:space="preserve">قاضي الحرم الشريف، كذا وجدته بخطه في مكتوبين ثبتا عليه، في شهر رمضان سنة سبع وسبعين وخمسمائة، وعرف نفسه فيهما: بقاضي الحرم الشريف. وما عرفت من حاله سوى هذا.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الثمين فى تاريخ البلد الأمين،(دار الكتب العلمية، بيروت - لبنان،1998،ط 1،ج 4،ص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2026-10-10T06:16:14+03:00</dcterms:created>
  <dcterms:modified xsi:type="dcterms:W3CDTF">2026-10-10T06:16:14+03:00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