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أبي المنصور أحمد بن عبد الكريم بن أبي المعالى يحيى بن عبد الرحمن بن علي بن الحسين الشيباني
</w:t>
      </w:r>
    </w:p>
    <w:p>
      <w:pPr>
        <w:jc w:val="start"/>
        <w:bidi/>
      </w:pPr>
      <w:r>
        <w:rPr>
          <w:rFonts w:ascii="arial" w:hAnsi="arial" w:eastAsia="arial" w:cs="arial"/>
          <w:sz w:val="28"/>
          <w:szCs w:val="28"/>
          <w:b w:val="1"/>
          <w:bCs w:val="1"/>
          <w:rtl/>
        </w:rPr>
        <w:t xml:space="preserve">صالح بن أبي المنصور أحمد بن عبد الكريم بن أبي المعالى يحيى بن عبد الرحمن بن علي بن الحسين الشيباني
</w:t>
      </w:r>
    </w:p>
    <w:p>
      <w:pPr/>
      <w:r>
        <w:rPr/>
        <w:t xml:space="preserve">صالح بن أبي المنصور أحمد بن عبد الكريم بن أبي المعالى يحيى بن عبد الرحمن بن علي بن الحسين الشيبانى الطبري الأصل، المكي المولد والدار: </w:t>
      </w:r>
    </w:p>
    <w:p/>
    <w:p>
      <w:pPr/>
      <w:r>
        <w:rPr/>
        <w:t xml:space="preserve">أجاز له مع أخويه على وعبد الله من دمشق، والقاضي سليمان بن حمزة، والمطعم، وابن مكتوم، وابن عبد الدائم، وابن سعد، وجماعة، باستدعاء البرزالي في سنة ثلاث عشرة وسبعمائة، وما علمته حدث.</w:t>
      </w:r>
    </w:p>
    <w:p/>
    <w:p>
      <w:pPr/>
      <w:r>
        <w:rPr/>
        <w:t xml:space="preserve">وكان رجلا صالحا خيرا، أقام بجدة مدة متوليا لعقود الأفكحة والإصلاح بين الناس، نيابة عن القاضي شهاب الدين الطبري، ثم انتقل إلى مصر وأقام بها سنين، وتوفى بها سنة أربع وستين وسبعمائة.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2026-10-10T06:23:16+03:00</dcterms:created>
  <dcterms:modified xsi:type="dcterms:W3CDTF">2026-10-10T06:23:16+03:00</dcterms:modified>
</cp:coreProperties>
</file>

<file path=docProps/custom.xml><?xml version="1.0" encoding="utf-8"?>
<Properties xmlns="http://schemas.openxmlformats.org/officeDocument/2006/custom-properties" xmlns:vt="http://schemas.openxmlformats.org/officeDocument/2006/docPropsVTypes"/>
</file>