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رميثة بن أحمد
</w:t>
      </w:r>
    </w:p>
    <w:p>
      <w:pPr>
        <w:jc w:val="start"/>
        <w:bidi/>
      </w:pPr>
      <w:r>
        <w:rPr>
          <w:rFonts w:ascii="arial" w:hAnsi="arial" w:eastAsia="arial" w:cs="arial"/>
          <w:sz w:val="28"/>
          <w:szCs w:val="28"/>
          <w:b w:val="1"/>
          <w:bCs w:val="1"/>
          <w:rtl/>
        </w:rPr>
        <w:t xml:space="preserve">رميثة بن أحمد
</w:t>
      </w:r>
    </w:p>
    <w:p>
      <w:pPr/>
      <w:r>
        <w:rPr/>
        <w:t xml:space="preserve">رميثة بن أحمد [ ..... ] الهذلى المسعودي: </w:t>
      </w:r>
    </w:p>
    <w:p/>
    <w:p>
      <w:pPr/>
      <w:r>
        <w:rPr/>
        <w:t xml:space="preserve">المعروف بالخفير، بخاء معجمة وفاء وياء مثناة من تحت، كان من أعيان الخفراء الذين يسكنون قرية سولة من وادى نخلة اليمانية، وينسب لمروءة وخير، وكان معتبرا عند الناس، وتغير عقله قليلا بأخرة من الكبر، وما مات حتى كثر تألمه، لموت ولد له كبير يسمى عبد الكريم، لقيامه عنه بسداد ما يعرض من الفتن بين الأعراب.</w:t>
      </w:r>
    </w:p>
    <w:p/>
    <w:p>
      <w:pPr/>
      <w:r>
        <w:rPr/>
        <w:t xml:space="preserve">توفى في يوم النفر الأول أو الثاني، من سنة تسع عشرة وثمانمائة، ودفن بالمعلاة، عن سته وسبعين سنة أو أزيد. وأظن - والله أعلم - أن السبب في شهرته بالخفير هو وأقاربه، لكون بعض أجدادهم وجماعتهم، كانوا يخفرون الحاج العراقي، إذا قدم عليهم في بلادهم، ولا مندوحة له عن المرور بقرية التنضب من وادى نخلة الشامية، وأمرها لبنى مسعود، الذين الخفراء منهم.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2026-10-10T07:59:17+03:00</dcterms:created>
  <dcterms:modified xsi:type="dcterms:W3CDTF">2026-10-10T07:59:17+03:00</dcterms:modified>
</cp:coreProperties>
</file>

<file path=docProps/custom.xml><?xml version="1.0" encoding="utf-8"?>
<Properties xmlns="http://schemas.openxmlformats.org/officeDocument/2006/custom-properties" xmlns:vt="http://schemas.openxmlformats.org/officeDocument/2006/docPropsVTypes"/>
</file>